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776B3C6" w14:textId="42D55575" w:rsidR="007905F2"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7021C473" w14:textId="7FDB9156"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77777777"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Krajského soudu v Brně, Spisová značka B 8477</w:t>
      </w:r>
    </w:p>
    <w:p w14:paraId="59F36466" w14:textId="00D8F784" w:rsidR="00F64A59" w:rsidRPr="00DA2C52" w:rsidRDefault="007905F2" w:rsidP="00F64A59">
      <w:pPr>
        <w:tabs>
          <w:tab w:val="left" w:pos="2160"/>
        </w:tabs>
        <w:spacing w:line="276" w:lineRule="auto"/>
        <w:rPr>
          <w:szCs w:val="20"/>
          <w:u w:val="single"/>
        </w:rPr>
      </w:pPr>
      <w:r>
        <w:rPr>
          <w:szCs w:val="20"/>
        </w:rPr>
        <w:t xml:space="preserve">Bankovní spojení </w:t>
      </w:r>
      <w:r w:rsidR="00F64A59" w:rsidRPr="00AB34F1">
        <w:rPr>
          <w:szCs w:val="20"/>
        </w:rPr>
        <w:t xml:space="preserve">č. </w:t>
      </w:r>
      <w:proofErr w:type="spellStart"/>
      <w:r w:rsidR="00F64A59" w:rsidRPr="00AB34F1">
        <w:rPr>
          <w:szCs w:val="20"/>
        </w:rPr>
        <w:t>ú.</w:t>
      </w:r>
      <w:proofErr w:type="spellEnd"/>
      <w:r w:rsidR="00F64A59" w:rsidRPr="00AB34F1">
        <w:rPr>
          <w:szCs w:val="20"/>
        </w:rPr>
        <w:t xml:space="preserve">: </w:t>
      </w:r>
      <w:r w:rsidR="00F64A59" w:rsidRPr="00041DC2">
        <w:rPr>
          <w:szCs w:val="20"/>
        </w:rPr>
        <w:t>27-9426120297/0100, vedený u Komerční banky a.s.</w:t>
      </w:r>
      <w:r w:rsidR="00F64A59"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8"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9"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0B646C29" w14:textId="77777777" w:rsidR="00F64A59" w:rsidRDefault="00F64A59" w:rsidP="00F64A59">
      <w:pPr>
        <w:spacing w:line="280" w:lineRule="atLeast"/>
        <w:jc w:val="both"/>
        <w:rPr>
          <w:szCs w:val="22"/>
        </w:rPr>
      </w:pPr>
    </w:p>
    <w:p w14:paraId="5FFB9974" w14:textId="76C1E52A" w:rsidR="00327D7B" w:rsidRDefault="00327D7B" w:rsidP="00060B31">
      <w:pPr>
        <w:spacing w:line="280" w:lineRule="atLeast"/>
        <w:jc w:val="both"/>
        <w:rPr>
          <w:szCs w:val="22"/>
        </w:rPr>
      </w:pPr>
    </w:p>
    <w:p w14:paraId="078160BE" w14:textId="0968FC78" w:rsidR="00F64A59" w:rsidRDefault="00F64A59" w:rsidP="00060B31">
      <w:pPr>
        <w:spacing w:line="280" w:lineRule="atLeast"/>
        <w:jc w:val="both"/>
        <w:rPr>
          <w:szCs w:val="22"/>
        </w:rPr>
      </w:pPr>
    </w:p>
    <w:p w14:paraId="1BAA37DA" w14:textId="6C2D58C5" w:rsidR="00F64A59" w:rsidRDefault="00F64A59" w:rsidP="00060B31">
      <w:pPr>
        <w:spacing w:line="280" w:lineRule="atLeast"/>
        <w:jc w:val="both"/>
        <w:rPr>
          <w:szCs w:val="22"/>
        </w:rPr>
      </w:pP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50AC7D31"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6103">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6103">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w:t>
      </w:r>
      <w:r w:rsidR="000A6103">
        <w:rPr>
          <w:rFonts w:ascii="Arial" w:hAnsi="Arial" w:cs="Arial"/>
          <w:sz w:val="20"/>
        </w:rPr>
        <w:br/>
      </w:r>
      <w:r>
        <w:rPr>
          <w:rFonts w:ascii="Arial" w:hAnsi="Arial" w:cs="Arial"/>
          <w:sz w:val="20"/>
        </w:rPr>
        <w:t>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4BB023B"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7905F2">
        <w:rPr>
          <w:rFonts w:ascii="Arial" w:hAnsi="Arial" w:cs="Arial"/>
          <w:b/>
          <w:bCs/>
          <w:iCs/>
          <w:sz w:val="20"/>
          <w:szCs w:val="20"/>
        </w:rPr>
        <w:t xml:space="preserve">Rozvaděče </w:t>
      </w:r>
      <w:r w:rsidR="006863DB" w:rsidRPr="006863DB">
        <w:rPr>
          <w:rFonts w:ascii="Arial" w:hAnsi="Arial" w:cs="Arial"/>
          <w:b/>
          <w:bCs/>
          <w:iCs/>
          <w:sz w:val="20"/>
          <w:szCs w:val="20"/>
        </w:rPr>
        <w:t>NN pro distribuční trafostanice</w:t>
      </w:r>
      <w:r w:rsidR="00DD0D33" w:rsidRPr="00396ED0">
        <w:rPr>
          <w:rFonts w:ascii="Arial" w:hAnsi="Arial" w:cs="Arial"/>
          <w:b/>
          <w:iCs/>
          <w:sz w:val="20"/>
          <w:szCs w:val="20"/>
        </w:rPr>
        <w:t>“</w:t>
      </w:r>
      <w:r w:rsidR="00380D16">
        <w:rPr>
          <w:rFonts w:ascii="Arial" w:hAnsi="Arial" w:cs="Arial"/>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65209F">
        <w:rPr>
          <w:rFonts w:ascii="Arial" w:hAnsi="Arial" w:cs="Arial"/>
          <w:sz w:val="20"/>
          <w:szCs w:val="20"/>
        </w:rPr>
        <w:t xml:space="preserve">kupujícím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65209F">
        <w:rPr>
          <w:rFonts w:ascii="Arial" w:hAnsi="Arial" w:cs="Arial"/>
          <w:sz w:val="20"/>
          <w:szCs w:val="20"/>
        </w:rPr>
        <w:t xml:space="preserve">kupujícího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65515C49"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7905F2">
        <w:rPr>
          <w:rFonts w:cs="Arial"/>
          <w:b/>
          <w:bCs/>
          <w:szCs w:val="20"/>
        </w:rPr>
        <w:t>rozvaděčů NN pro distribuční trafostanice blíže specifikovaných v příloze 2 této smlouvy</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7D4E47F7"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674F6B05"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w:t>
      </w:r>
      <w:r w:rsidR="000A6103">
        <w:rPr>
          <w:rFonts w:cs="Arial"/>
          <w:szCs w:val="20"/>
        </w:rPr>
        <w:br/>
      </w:r>
      <w:r>
        <w:rPr>
          <w:rFonts w:cs="Arial"/>
          <w:szCs w:val="20"/>
        </w:rPr>
        <w:t>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518233D3"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w:t>
      </w:r>
      <w:r w:rsidR="006B3A10">
        <w:rPr>
          <w:rFonts w:cs="Arial"/>
          <w:szCs w:val="20"/>
        </w:rPr>
        <w:t xml:space="preserve">na </w:t>
      </w:r>
      <w:r w:rsidRPr="00D17513">
        <w:rPr>
          <w:rFonts w:cs="Arial"/>
          <w:szCs w:val="20"/>
        </w:rPr>
        <w:t xml:space="preserve">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09968627" w:rsidR="00BD0C79" w:rsidRPr="00687C3E" w:rsidRDefault="00BD0C79" w:rsidP="00BD0C79">
      <w:pPr>
        <w:numPr>
          <w:ilvl w:val="0"/>
          <w:numId w:val="1"/>
        </w:numPr>
        <w:spacing w:line="280" w:lineRule="atLeast"/>
        <w:jc w:val="both"/>
        <w:rPr>
          <w:rFonts w:cs="Arial"/>
          <w:szCs w:val="20"/>
        </w:rPr>
      </w:pPr>
      <w:r>
        <w:t>O</w:t>
      </w:r>
      <w:r w:rsidRPr="005948DE">
        <w:t xml:space="preserve">dběrné množství </w:t>
      </w:r>
      <w:r w:rsidR="006B3A10">
        <w:t xml:space="preserve">kusů </w:t>
      </w:r>
      <w:r w:rsidRPr="005948DE">
        <w:t>uvedené v </w:t>
      </w:r>
      <w:r w:rsidRPr="005948DE">
        <w:rPr>
          <w:u w:val="single"/>
        </w:rPr>
        <w:t>příloze 1</w:t>
      </w:r>
      <w:r w:rsidRPr="005948DE">
        <w:t xml:space="preserve"> je stanoveno pouze jako předpokládané.</w:t>
      </w:r>
      <w:r w:rsidR="000A6103">
        <w:br/>
      </w:r>
      <w:r w:rsidRPr="005948DE">
        <w:t xml:space="preserve">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56401D1C" w:rsidR="00BD0C79" w:rsidRPr="00C770A6" w:rsidRDefault="00BD0C79" w:rsidP="00BD0C79">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w:t>
      </w:r>
      <w:r w:rsidRPr="00C770A6">
        <w:rPr>
          <w:rFonts w:cs="Arial"/>
          <w:szCs w:val="20"/>
        </w:rPr>
        <w:t xml:space="preserve"> a ve lhůtě dle čl. II. odst. </w:t>
      </w:r>
      <w:r>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4C3AFC9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příloze 1</w:t>
      </w:r>
      <w:r w:rsidR="006863DB">
        <w:rPr>
          <w:rFonts w:cs="Arial"/>
          <w:szCs w:val="20"/>
          <w:u w:val="single"/>
        </w:rPr>
        <w:t>,</w:t>
      </w:r>
      <w:r w:rsidR="006863DB" w:rsidRPr="006863DB">
        <w:rPr>
          <w:rFonts w:cs="Arial"/>
          <w:szCs w:val="20"/>
        </w:rPr>
        <w:t xml:space="preserve"> jako výše konsignačního skladu,</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5505B093"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0"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1"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w:t>
      </w:r>
      <w:r w:rsidR="000A6103">
        <w:rPr>
          <w:rFonts w:cs="Arial"/>
          <w:b/>
          <w:szCs w:val="20"/>
        </w:rPr>
        <w:br/>
      </w:r>
      <w:r w:rsidRPr="00874527">
        <w:rPr>
          <w:rFonts w:cs="Arial"/>
          <w:b/>
          <w:szCs w:val="20"/>
        </w:rPr>
        <w:t>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24045D8A" w:rsidR="00B302F9" w:rsidRPr="00355F3A"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672C0D59" w14:textId="77777777" w:rsidR="00B302F9" w:rsidRPr="00B302F9" w:rsidRDefault="00B302F9" w:rsidP="00B302F9">
      <w:pPr>
        <w:spacing w:line="280" w:lineRule="atLeast"/>
        <w:ind w:left="426"/>
        <w:jc w:val="both"/>
        <w:rPr>
          <w:highlight w:val="yellow"/>
        </w:rPr>
      </w:pPr>
    </w:p>
    <w:p w14:paraId="7F64451C" w14:textId="4DEE87A3" w:rsidR="004D420B" w:rsidRDefault="00A9784E" w:rsidP="00E67BD1">
      <w:pPr>
        <w:numPr>
          <w:ilvl w:val="0"/>
          <w:numId w:val="5"/>
        </w:numPr>
        <w:spacing w:line="280" w:lineRule="atLeast"/>
        <w:ind w:left="426" w:hanging="426"/>
        <w:jc w:val="both"/>
      </w:pPr>
      <w:r w:rsidRPr="00B302F9">
        <w:t xml:space="preserve">Jednotková cena zboží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w:t>
      </w:r>
      <w:r w:rsidR="000A6103">
        <w:br/>
      </w:r>
      <w:r w:rsidR="00327D7B" w:rsidRPr="00B302F9">
        <w:t>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jakož i jakékoliv případné dodatečné náklady prodávajícího, o kterých prodávající v době uzavření smlouvy mohl nebo měl vědět na základě svých odborných</w:t>
      </w:r>
      <w:r w:rsidR="000A6103">
        <w:br/>
      </w:r>
      <w:r w:rsidR="00EF5CC0" w:rsidRPr="00B302F9">
        <w:t xml:space="preserve">a technických znalostí a zkušeností, </w:t>
      </w:r>
      <w:r w:rsidR="00D20EA8" w:rsidRPr="00B302F9">
        <w:t>a prodávající nemá právo požadovat zvýšení</w:t>
      </w:r>
      <w:r>
        <w:t xml:space="preserve"> </w:t>
      </w:r>
      <w:r w:rsidR="00D20EA8">
        <w:t>ceny z jakéhokoli důvodu</w:t>
      </w:r>
      <w:r w:rsidR="00327D7B" w:rsidRPr="00DA2C52">
        <w:t>.</w:t>
      </w:r>
    </w:p>
    <w:p w14:paraId="58E9A6E1" w14:textId="77777777" w:rsidR="004D420B" w:rsidRDefault="004D420B" w:rsidP="004D420B">
      <w:pPr>
        <w:spacing w:line="280" w:lineRule="atLeast"/>
        <w:ind w:left="426"/>
        <w:jc w:val="both"/>
      </w:pP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16639365"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IV. odst. 15.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w:t>
      </w:r>
      <w:r w:rsidR="00793E28">
        <w:rPr>
          <w:rFonts w:cs="Arial"/>
          <w:szCs w:val="20"/>
        </w:rPr>
        <w:t>doručení</w:t>
      </w:r>
      <w:r>
        <w:rPr>
          <w:rFonts w:cs="Arial"/>
          <w:szCs w:val="20"/>
        </w:rPr>
        <w:t xml:space="preserve"> příslušné faktury kupujícímu</w:t>
      </w:r>
      <w:r w:rsidRPr="00DA2C52">
        <w:rPr>
          <w:rFonts w:cs="Arial"/>
          <w:szCs w:val="20"/>
        </w:rPr>
        <w:t>.</w:t>
      </w:r>
      <w:r>
        <w:rPr>
          <w:rFonts w:cs="Arial"/>
          <w:szCs w:val="20"/>
        </w:rPr>
        <w:t xml:space="preserve"> </w:t>
      </w:r>
      <w:r w:rsidR="00793E28">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17A6CDF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w:t>
      </w:r>
      <w:r w:rsidRPr="000A6103">
        <w:rPr>
          <w:rFonts w:cs="Arial"/>
          <w:szCs w:val="20"/>
        </w:rPr>
        <w:t xml:space="preserve">§ </w:t>
      </w:r>
      <w:r w:rsidR="00565A1B" w:rsidRPr="000A6103">
        <w:rPr>
          <w:rFonts w:cs="Arial"/>
          <w:szCs w:val="20"/>
        </w:rPr>
        <w:t>29</w:t>
      </w:r>
      <w:r w:rsidR="000A6103" w:rsidRPr="000A6103">
        <w:rPr>
          <w:rFonts w:cs="Arial"/>
          <w:szCs w:val="20"/>
        </w:rPr>
        <w:t xml:space="preserve"> </w:t>
      </w:r>
      <w:r w:rsidRPr="000A6103">
        <w:rPr>
          <w:rFonts w:cs="Arial"/>
          <w:szCs w:val="20"/>
        </w:rPr>
        <w:t>z</w:t>
      </w:r>
      <w:r w:rsidRPr="00264EAA">
        <w:rPr>
          <w:rFonts w:cs="Arial"/>
          <w:szCs w:val="20"/>
        </w:rPr>
        <w:t>ákona</w:t>
      </w:r>
      <w:r w:rsidR="000A6103">
        <w:rPr>
          <w:rFonts w:cs="Arial"/>
          <w:szCs w:val="20"/>
        </w:rPr>
        <w:br/>
      </w:r>
      <w:r w:rsidRPr="00264EAA">
        <w:rPr>
          <w:rFonts w:cs="Arial"/>
          <w:szCs w:val="20"/>
        </w:rPr>
        <w:t>č. 235/2004 Sb., o dani z přidané hodnoty, ve znění pozdějších předpisů, a § 11 zákona</w:t>
      </w:r>
      <w:r w:rsidR="000A6103">
        <w:rPr>
          <w:rFonts w:cs="Arial"/>
          <w:szCs w:val="20"/>
        </w:rPr>
        <w:br/>
      </w:r>
      <w:r w:rsidRPr="00264EAA">
        <w:rPr>
          <w:rFonts w:cs="Arial"/>
          <w:szCs w:val="20"/>
        </w:rPr>
        <w:t>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oznámení</w:t>
      </w:r>
      <w:r w:rsidR="000A6103">
        <w:rPr>
          <w:rFonts w:cs="Arial"/>
          <w:szCs w:val="20"/>
        </w:rPr>
        <w:br/>
      </w:r>
      <w:r>
        <w:rPr>
          <w:rFonts w:cs="Arial"/>
          <w:szCs w:val="20"/>
        </w:rPr>
        <w:t xml:space="preserve">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w:t>
      </w:r>
      <w:r w:rsidR="000A6103">
        <w:rPr>
          <w:rFonts w:cs="Arial"/>
          <w:szCs w:val="20"/>
        </w:rPr>
        <w:br/>
      </w:r>
      <w:r w:rsidRPr="00DA2C52">
        <w:rPr>
          <w:rFonts w:cs="Arial"/>
          <w:szCs w:val="20"/>
        </w:rPr>
        <w:t>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3AF1AEFD"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w:t>
      </w:r>
      <w:r w:rsidR="00565A1B">
        <w:rPr>
          <w:rFonts w:cs="Arial"/>
          <w:szCs w:val="20"/>
        </w:rPr>
        <w:t>29</w:t>
      </w:r>
      <w:r w:rsidRPr="00264EAA">
        <w:rPr>
          <w:rFonts w:cs="Arial"/>
          <w:szCs w:val="20"/>
        </w:rPr>
        <w:t xml:space="preserve">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01461C00"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w:t>
      </w:r>
      <w:r w:rsidR="000A6103">
        <w:rPr>
          <w:rFonts w:cs="Arial"/>
          <w:szCs w:val="20"/>
        </w:rPr>
        <w:br/>
      </w:r>
      <w:r w:rsidRPr="002F137B">
        <w:rPr>
          <w:rFonts w:cs="Arial"/>
          <w:szCs w:val="20"/>
        </w:rPr>
        <w:t>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763471F1"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w:t>
      </w:r>
      <w:r w:rsidR="000A6103">
        <w:rPr>
          <w:rFonts w:cs="Arial"/>
          <w:szCs w:val="20"/>
        </w:rPr>
        <w:br/>
      </w:r>
      <w:r w:rsidRPr="005020D9">
        <w:rPr>
          <w:rFonts w:cs="Arial"/>
          <w:szCs w:val="20"/>
        </w:rPr>
        <w:t>z prodlení v zákonné výši.</w:t>
      </w:r>
    </w:p>
    <w:p w14:paraId="0C8B691C" w14:textId="77777777" w:rsidR="003E60B2" w:rsidRPr="003E60B2" w:rsidRDefault="003E60B2" w:rsidP="003E60B2">
      <w:pPr>
        <w:pStyle w:val="Odstavecseseznamem"/>
        <w:rPr>
          <w:rFonts w:cs="Arial"/>
          <w:szCs w:val="20"/>
        </w:rPr>
      </w:pPr>
    </w:p>
    <w:p w14:paraId="26E87491" w14:textId="6EE8C338" w:rsidR="003E60B2" w:rsidRPr="00396ED0" w:rsidRDefault="003E60B2" w:rsidP="003E60B2">
      <w:pPr>
        <w:numPr>
          <w:ilvl w:val="0"/>
          <w:numId w:val="5"/>
        </w:numPr>
        <w:spacing w:line="280" w:lineRule="atLeast"/>
        <w:ind w:left="425" w:hanging="425"/>
        <w:jc w:val="both"/>
        <w:rPr>
          <w:rFonts w:cs="Arial"/>
          <w:szCs w:val="20"/>
        </w:rPr>
      </w:pPr>
      <w:r w:rsidRPr="00396ED0">
        <w:rPr>
          <w:rFonts w:cs="Arial"/>
          <w:szCs w:val="20"/>
        </w:rPr>
        <w:t>Prodávající je povinen zajistit řádné a včasné plnění finančních závazků svým poddodavatelům, kdy za řádné a včasné plnění se považuje plné uhrazení poddodavatelem vystavených</w:t>
      </w:r>
      <w:r w:rsidR="000A6103">
        <w:rPr>
          <w:rFonts w:cs="Arial"/>
          <w:szCs w:val="20"/>
        </w:rPr>
        <w:br/>
      </w:r>
      <w:r w:rsidRPr="00396ED0">
        <w:rPr>
          <w:rFonts w:cs="Arial"/>
          <w:szCs w:val="20"/>
        </w:rPr>
        <w:t>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w:t>
      </w:r>
      <w:r w:rsidR="000A6103">
        <w:rPr>
          <w:rFonts w:cs="Arial"/>
          <w:szCs w:val="20"/>
        </w:rPr>
        <w:br/>
      </w:r>
      <w:r w:rsidRPr="00396ED0">
        <w:rPr>
          <w:rFonts w:cs="Arial"/>
          <w:szCs w:val="20"/>
        </w:rPr>
        <w:t>k plnění a šíření této povinnosti též do nižších úrovní dodavatelského řetězce. Kupující je oprávněn požadovat předložení smlouvy uzavřené mezi prodávajícím a jeho poddodavatelem k nahlédnutí.</w:t>
      </w:r>
    </w:p>
    <w:p w14:paraId="7C9F7654" w14:textId="3ECCA123" w:rsidR="003E60B2" w:rsidRPr="005020D9" w:rsidRDefault="003E60B2" w:rsidP="003E60B2">
      <w:pPr>
        <w:pStyle w:val="Odstavecseseznamem"/>
        <w:spacing w:line="280" w:lineRule="atLeast"/>
        <w:ind w:left="426"/>
        <w:jc w:val="both"/>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094ED1FC"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1"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osob</w:t>
      </w:r>
      <w:r w:rsidR="000A6103">
        <w:rPr>
          <w:rFonts w:ascii="Arial" w:hAnsi="Arial" w:cs="Arial"/>
          <w:sz w:val="20"/>
          <w:szCs w:val="20"/>
          <w:lang w:eastAsia="en-US"/>
        </w:rPr>
        <w:br/>
      </w:r>
      <w:r>
        <w:rPr>
          <w:rFonts w:ascii="Arial" w:hAnsi="Arial" w:cs="Arial"/>
          <w:sz w:val="20"/>
          <w:szCs w:val="20"/>
          <w:lang w:eastAsia="en-US"/>
        </w:rPr>
        <w:t xml:space="preserve">a </w:t>
      </w:r>
      <w:r w:rsidRPr="001900E6">
        <w:rPr>
          <w:rFonts w:ascii="Arial" w:hAnsi="Arial" w:cs="Arial"/>
          <w:sz w:val="20"/>
          <w:szCs w:val="20"/>
          <w:lang w:eastAsia="en-US"/>
        </w:rPr>
        <w:t>údajů uvedených v této smlouvě</w:t>
      </w:r>
      <w:bookmarkEnd w:id="1"/>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9265895"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2"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672481">
        <w:rPr>
          <w:rFonts w:ascii="Arial" w:hAnsi="Arial" w:cs="Arial"/>
          <w:sz w:val="20"/>
          <w:szCs w:val="20"/>
          <w:u w:val="single"/>
          <w:lang w:eastAsia="en-US"/>
        </w:rPr>
        <w:t>ou</w:t>
      </w:r>
      <w:r w:rsidR="00BB624F">
        <w:rPr>
          <w:rFonts w:ascii="Arial" w:hAnsi="Arial" w:cs="Arial"/>
          <w:sz w:val="20"/>
          <w:szCs w:val="20"/>
          <w:u w:val="single"/>
          <w:lang w:eastAsia="en-US"/>
        </w:rPr>
        <w:t xml:space="preserve"> </w:t>
      </w:r>
      <w:r w:rsidR="00BB624F" w:rsidRPr="00F706F8">
        <w:rPr>
          <w:rFonts w:ascii="Arial" w:hAnsi="Arial" w:cs="Arial"/>
          <w:sz w:val="20"/>
          <w:szCs w:val="20"/>
          <w:u w:val="single"/>
          <w:lang w:eastAsia="en-US"/>
        </w:rPr>
        <w:t>1</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1D77E8A"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w:t>
      </w:r>
      <w:r w:rsidR="000A6103">
        <w:rPr>
          <w:rFonts w:ascii="Arial" w:hAnsi="Arial" w:cs="Arial"/>
          <w:sz w:val="20"/>
          <w:szCs w:val="20"/>
          <w:lang w:eastAsia="en-US"/>
        </w:rPr>
        <w:br/>
      </w:r>
      <w:r w:rsidR="00A15F97" w:rsidRPr="00BC5E4C">
        <w:rPr>
          <w:rFonts w:ascii="Arial" w:hAnsi="Arial" w:cs="Arial"/>
          <w:sz w:val="20"/>
          <w:szCs w:val="20"/>
          <w:lang w:eastAsia="en-US"/>
        </w:rPr>
        <w:t>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0A6103">
        <w:rPr>
          <w:rFonts w:ascii="Arial" w:hAnsi="Arial" w:cs="Arial"/>
          <w:sz w:val="20"/>
          <w:szCs w:val="20"/>
          <w:lang w:eastAsia="en-US"/>
        </w:rPr>
        <w:br/>
      </w:r>
      <w:r w:rsidR="00A15F97" w:rsidRPr="00BC5E4C">
        <w:rPr>
          <w:rFonts w:ascii="Arial" w:hAnsi="Arial" w:cs="Arial"/>
          <w:sz w:val="20"/>
          <w:szCs w:val="20"/>
          <w:lang w:eastAsia="en-US"/>
        </w:rPr>
        <w:t xml:space="preserve">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w:t>
      </w:r>
      <w:r w:rsidR="00A15F97" w:rsidRPr="00BC5E4C">
        <w:rPr>
          <w:rFonts w:ascii="Arial" w:hAnsi="Arial" w:cs="Arial"/>
          <w:sz w:val="20"/>
          <w:szCs w:val="20"/>
          <w:lang w:eastAsia="en-US"/>
        </w:rPr>
        <w:lastRenderedPageBreak/>
        <w:t>kupujícímu včas oznámit. Prodávající odpovídá za řádné a včasné oznámení o doručení výzvy k plnění prodávajícímu, jakož i za řádné a včasné dodání zboží dle výzvy k plnění a této smlouvy.</w:t>
      </w:r>
      <w:bookmarkEnd w:id="2"/>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4F2146A3"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přílohy 1</w:t>
      </w:r>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6BDAACCA"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672481">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777777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(metráž na vnějším a vnitřním konci kabelu na každém kabelovém bubnu) číselný kód v souladu s </w:t>
      </w:r>
      <w:r w:rsidRPr="00101F4E">
        <w:rPr>
          <w:rFonts w:cs="Arial"/>
          <w:szCs w:val="20"/>
          <w:u w:val="single"/>
        </w:rPr>
        <w:t>přílohou 1</w:t>
      </w:r>
      <w:r w:rsidRPr="00101F4E">
        <w:rPr>
          <w:rFonts w:cs="Arial"/>
          <w:szCs w:val="20"/>
        </w:rPr>
        <w:t xml:space="preserve"> této smlouvy;</w:t>
      </w:r>
    </w:p>
    <w:p w14:paraId="572C238B" w14:textId="58E63353"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(číslo kabelového bubnu), zda jsou tyto obaly vratné, nebo nevratné, a to v souladu s </w:t>
      </w:r>
      <w:r w:rsidRPr="00101F4E">
        <w:rPr>
          <w:rFonts w:cs="Arial"/>
          <w:szCs w:val="20"/>
          <w:u w:val="single"/>
        </w:rPr>
        <w:t xml:space="preserve">přílohou </w:t>
      </w:r>
      <w:r w:rsidR="00672481">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04C52D9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672481">
        <w:rPr>
          <w:rFonts w:ascii="Arial" w:hAnsi="Arial" w:cs="Arial"/>
          <w:sz w:val="20"/>
          <w:szCs w:val="20"/>
          <w:u w:val="single"/>
        </w:rPr>
        <w:t>5</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0ACAB058"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w:t>
      </w:r>
      <w:r w:rsidR="000A6103">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3606E836"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0A6103">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086CA3F4"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793E28">
        <w:rPr>
          <w:rFonts w:ascii="Arial" w:hAnsi="Arial" w:cs="Arial"/>
          <w:color w:val="auto"/>
          <w:sz w:val="20"/>
        </w:rPr>
        <w:t xml:space="preserve">jejich příloh,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286823DF"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w:t>
      </w:r>
      <w:r w:rsidR="000A6103">
        <w:rPr>
          <w:rFonts w:ascii="Arial" w:hAnsi="Arial" w:cs="Arial"/>
          <w:color w:val="auto"/>
          <w:sz w:val="20"/>
        </w:rPr>
        <w:br/>
      </w:r>
      <w:r w:rsidR="00656857">
        <w:rPr>
          <w:rFonts w:ascii="Arial" w:hAnsi="Arial" w:cs="Arial"/>
          <w:color w:val="auto"/>
          <w:sz w:val="20"/>
        </w:rPr>
        <w:t>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1B736595"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Odhalí-li kupující vadu zboží a chce-li uplatnit svá práva z vadného plnění, musí odhalenou vadu </w:t>
      </w:r>
      <w:r>
        <w:rPr>
          <w:rFonts w:ascii="Arial" w:hAnsi="Arial" w:cs="Arial"/>
          <w:color w:val="auto"/>
          <w:sz w:val="20"/>
        </w:rPr>
        <w:lastRenderedPageBreak/>
        <w:t>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5FFB99DB" w14:textId="0203CB1E" w:rsidR="00294CF2"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317301A5"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59C2FBC3" w14:textId="77777777" w:rsidR="0086049F"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3E34DC3B" w:rsidR="0060797D" w:rsidRDefault="0060797D" w:rsidP="0060797D">
      <w:pPr>
        <w:spacing w:line="280" w:lineRule="atLeast"/>
        <w:ind w:left="426"/>
        <w:jc w:val="both"/>
        <w:rPr>
          <w:rFonts w:cs="Arial"/>
          <w:szCs w:val="20"/>
        </w:rPr>
      </w:pPr>
    </w:p>
    <w:p w14:paraId="0CF1A272" w14:textId="2CF1AF2E" w:rsidR="000A6103" w:rsidRDefault="000A6103" w:rsidP="0060797D">
      <w:pPr>
        <w:spacing w:line="280" w:lineRule="atLeast"/>
        <w:ind w:left="426"/>
        <w:jc w:val="both"/>
        <w:rPr>
          <w:rFonts w:cs="Arial"/>
          <w:szCs w:val="20"/>
        </w:rPr>
      </w:pPr>
    </w:p>
    <w:p w14:paraId="4EDA414A" w14:textId="77777777" w:rsidR="000A6103" w:rsidRDefault="000A6103"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 odst. 15.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2F4B310"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 xml:space="preserve">mlouvy má uzavřenou pojistnou smlouvu, jejímž předmětem je pojištění odpovědnosti za újmu způsobenou </w:t>
      </w:r>
      <w:r>
        <w:t>prodávajícím</w:t>
      </w:r>
      <w:r w:rsidRPr="00DA2C52">
        <w:t xml:space="preserve"> třetí osobě v souvislosti s výkonem jeho činnosti ve výši nejméně </w:t>
      </w:r>
      <w:r w:rsidR="005F5DC5" w:rsidRPr="00396ED0">
        <w:t>30</w:t>
      </w:r>
      <w:r w:rsidRPr="00396ED0">
        <w:t xml:space="preserve"> mil. Kč se spoluúčastí pro</w:t>
      </w:r>
      <w:r>
        <w:t>dávajícího nanejvýš 150 tis. Kč</w:t>
      </w:r>
      <w:r w:rsidRPr="00DA2C52">
        <w:t xml:space="preserve">. </w:t>
      </w:r>
      <w:r>
        <w:t>Prodávající</w:t>
      </w:r>
      <w:r w:rsidRPr="00DA2C52">
        <w:t xml:space="preserve"> se zavazuje, že po celou dobu trvání této smlouvy bude pojištěn ve smyslu </w:t>
      </w:r>
      <w:r w:rsidRPr="00DA2C52">
        <w:lastRenderedPageBreak/>
        <w:t>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4489B5AD" w:rsidR="00FE3275" w:rsidRPr="00424405" w:rsidRDefault="00FE3275" w:rsidP="00E67BD1">
      <w:pPr>
        <w:widowControl w:val="0"/>
        <w:numPr>
          <w:ilvl w:val="2"/>
          <w:numId w:val="10"/>
        </w:numPr>
        <w:suppressAutoHyphens/>
        <w:spacing w:line="280" w:lineRule="atLeast"/>
        <w:jc w:val="both"/>
      </w:pPr>
      <w:r w:rsidRPr="00424405">
        <w:t>platný certifikát kvality pro výrobní závod podle ČSN EN ISO 9001, Certifikační orgán musí být akreditovaný členský subjekt Evropské spolupráce pro akreditaci (EA),</w:t>
      </w:r>
    </w:p>
    <w:p w14:paraId="720B824A" w14:textId="059DB746" w:rsidR="00552C6B" w:rsidRPr="00424405" w:rsidRDefault="00552C6B" w:rsidP="00552C6B">
      <w:pPr>
        <w:widowControl w:val="0"/>
        <w:numPr>
          <w:ilvl w:val="2"/>
          <w:numId w:val="10"/>
        </w:numPr>
        <w:suppressAutoHyphens/>
        <w:spacing w:line="280" w:lineRule="atLeast"/>
        <w:jc w:val="both"/>
      </w:pPr>
      <w:r w:rsidRPr="00424405">
        <w:t>platný certifikát kvality pro výrobní závod podle ČSN EN ISO 14001, Certifikační orgán musí být akreditovaný členský subjekt Evropské spolupráce pro akreditaci (EA),</w:t>
      </w:r>
    </w:p>
    <w:p w14:paraId="29268EE1" w14:textId="30060B6E" w:rsidR="00FE3275" w:rsidRPr="00424405" w:rsidRDefault="00FE3275" w:rsidP="00E67BD1">
      <w:pPr>
        <w:widowControl w:val="0"/>
        <w:numPr>
          <w:ilvl w:val="2"/>
          <w:numId w:val="10"/>
        </w:numPr>
        <w:suppressAutoHyphens/>
        <w:spacing w:line="280" w:lineRule="atLeast"/>
        <w:jc w:val="both"/>
      </w:pPr>
      <w:r w:rsidRPr="00424405">
        <w:t>doklady o platnosti certifikátu kvality výrobního závodu dle písm. i)</w:t>
      </w:r>
      <w:r w:rsidR="00552C6B" w:rsidRPr="00424405">
        <w:t xml:space="preserve">, </w:t>
      </w:r>
      <w:proofErr w:type="spellStart"/>
      <w:r w:rsidR="00552C6B" w:rsidRPr="00424405">
        <w:t>ii</w:t>
      </w:r>
      <w:proofErr w:type="spellEnd"/>
      <w:r w:rsidR="00552C6B" w:rsidRPr="00424405">
        <w:t>)</w:t>
      </w:r>
      <w:r w:rsidRPr="00424405">
        <w:t xml:space="preserve"> tohoto odstavce a pravidelných prohlídkách certifikačního orgánu,</w:t>
      </w:r>
    </w:p>
    <w:p w14:paraId="1B649950" w14:textId="350CC98A" w:rsidR="00FE3275" w:rsidRPr="00424405" w:rsidRDefault="00FE3275" w:rsidP="00E67BD1">
      <w:pPr>
        <w:widowControl w:val="0"/>
        <w:numPr>
          <w:ilvl w:val="2"/>
          <w:numId w:val="10"/>
        </w:numPr>
        <w:suppressAutoHyphens/>
        <w:spacing w:line="280" w:lineRule="atLeast"/>
        <w:jc w:val="both"/>
      </w:pPr>
      <w:r w:rsidRPr="00424405">
        <w:t>protokoly z kusových zkoušek,</w:t>
      </w:r>
    </w:p>
    <w:p w14:paraId="7D5A52A6" w14:textId="67ABF154" w:rsidR="00FE3275" w:rsidRPr="00424405" w:rsidRDefault="00424405" w:rsidP="00E67BD1">
      <w:pPr>
        <w:widowControl w:val="0"/>
        <w:numPr>
          <w:ilvl w:val="2"/>
          <w:numId w:val="10"/>
        </w:numPr>
        <w:suppressAutoHyphens/>
        <w:spacing w:line="280" w:lineRule="atLeast"/>
        <w:jc w:val="both"/>
      </w:pPr>
      <w:r w:rsidRPr="00424405">
        <w:t>protokoly z typových zkoušek,</w:t>
      </w:r>
    </w:p>
    <w:p w14:paraId="0D219A2D" w14:textId="092C7439" w:rsidR="00FE3275" w:rsidRPr="00424405" w:rsidRDefault="00FE3275" w:rsidP="00E67BD1">
      <w:pPr>
        <w:widowControl w:val="0"/>
        <w:numPr>
          <w:ilvl w:val="2"/>
          <w:numId w:val="10"/>
        </w:numPr>
        <w:suppressAutoHyphens/>
        <w:spacing w:line="280" w:lineRule="atLeast"/>
        <w:jc w:val="both"/>
      </w:pPr>
      <w:r w:rsidRPr="00424405">
        <w:t>protokoly z</w:t>
      </w:r>
      <w:r w:rsidR="00424405" w:rsidRPr="00424405">
        <w:t> </w:t>
      </w:r>
      <w:r w:rsidRPr="00424405">
        <w:t>typových</w:t>
      </w:r>
      <w:r w:rsidR="00424405" w:rsidRPr="00424405">
        <w:t>, kusových zkoušek z 12 předcházejících měsíců od měsíce dodání,</w:t>
      </w:r>
    </w:p>
    <w:p w14:paraId="5D246B2A" w14:textId="1C8EAA14" w:rsidR="00FE3275" w:rsidRPr="00424405" w:rsidRDefault="00424405" w:rsidP="00E67BD1">
      <w:pPr>
        <w:widowControl w:val="0"/>
        <w:numPr>
          <w:ilvl w:val="2"/>
          <w:numId w:val="10"/>
        </w:numPr>
        <w:suppressAutoHyphens/>
        <w:spacing w:line="280" w:lineRule="atLeast"/>
        <w:jc w:val="both"/>
      </w:pPr>
      <w:r w:rsidRPr="00424405">
        <w:t>typová dokumentace obsahující všeobecné informace o výrobku,</w:t>
      </w:r>
    </w:p>
    <w:p w14:paraId="59301AA6" w14:textId="6A9C691F" w:rsidR="00FE3275" w:rsidRPr="00424405" w:rsidRDefault="00424405" w:rsidP="00E67BD1">
      <w:pPr>
        <w:widowControl w:val="0"/>
        <w:numPr>
          <w:ilvl w:val="2"/>
          <w:numId w:val="10"/>
        </w:numPr>
        <w:suppressAutoHyphens/>
        <w:spacing w:line="280" w:lineRule="atLeast"/>
        <w:jc w:val="both"/>
      </w:pPr>
      <w:r w:rsidRPr="00424405">
        <w:t>montážní a provozní předpisy,</w:t>
      </w:r>
    </w:p>
    <w:p w14:paraId="09AC97FE" w14:textId="77777777" w:rsidR="00424405" w:rsidRPr="00424405" w:rsidRDefault="00424405" w:rsidP="00424405">
      <w:pPr>
        <w:widowControl w:val="0"/>
        <w:numPr>
          <w:ilvl w:val="2"/>
          <w:numId w:val="10"/>
        </w:numPr>
        <w:suppressAutoHyphens/>
        <w:spacing w:line="280" w:lineRule="atLeast"/>
        <w:jc w:val="both"/>
      </w:pPr>
      <w:r w:rsidRPr="00424405">
        <w:t xml:space="preserve">katalogové listy nebo </w:t>
      </w:r>
      <w:proofErr w:type="gramStart"/>
      <w:r w:rsidRPr="00424405">
        <w:t>prospekty - základní</w:t>
      </w:r>
      <w:proofErr w:type="gramEnd"/>
      <w:r w:rsidRPr="00424405">
        <w:t xml:space="preserve"> technickou dokumentaci (katalog) nabízeného zboží, obsahující základní elektrické a neelektrické vlastnosti, parametry, rozměry, atd.</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5FD622BA"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přílo</w:t>
      </w:r>
      <w:r w:rsidR="00672481">
        <w:rPr>
          <w:u w:val="single"/>
        </w:rPr>
        <w:t>hách</w:t>
      </w:r>
      <w:r w:rsidRPr="0059375A">
        <w:rPr>
          <w:u w:val="single"/>
        </w:rPr>
        <w:t xml:space="preserve"> </w:t>
      </w:r>
      <w:r>
        <w:rPr>
          <w:u w:val="single"/>
        </w:rPr>
        <w:t>5</w:t>
      </w:r>
      <w:r w:rsidR="00672481">
        <w:rPr>
          <w:u w:val="single"/>
        </w:rPr>
        <w:t xml:space="preserve"> a 6</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3A83FEB4"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w:t>
      </w:r>
      <w:r w:rsidRPr="00EC326F">
        <w:lastRenderedPageBreak/>
        <w:t>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672481">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12DAB7A" w14:textId="77777777" w:rsidR="003103EC" w:rsidRDefault="003103EC" w:rsidP="00A2314B">
      <w:pPr>
        <w:widowControl w:val="0"/>
        <w:tabs>
          <w:tab w:val="left" w:pos="426"/>
        </w:tabs>
        <w:suppressAutoHyphens/>
        <w:spacing w:after="120" w:line="280" w:lineRule="atLeast"/>
        <w:ind w:left="426"/>
        <w:jc w:val="both"/>
      </w:pP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77777777"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0A6103">
        <w:rPr>
          <w:rFonts w:cs="Arial"/>
        </w:rPr>
        <w:t>Tato smlouva byla sjednána na dobu určitou čtyř let s účinností o</w:t>
      </w:r>
      <w:r w:rsidRPr="005A25A0">
        <w:rPr>
          <w:rFonts w:cs="Arial"/>
        </w:rPr>
        <w:t>d okamžiku podpisu této smlouvy oběma smluvními stranami.</w:t>
      </w:r>
      <w:r>
        <w:rPr>
          <w:rFonts w:cs="Arial"/>
        </w:rPr>
        <w:t xml:space="preserve"> Tím nejsou dotčena další ustanovení tohoto článku.</w:t>
      </w:r>
      <w:r w:rsidRPr="005A25A0">
        <w:rPr>
          <w:rFonts w:cs="Arial"/>
        </w:rPr>
        <w:t xml:space="preserve"> </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6A0A8FBA" w14:textId="77777777" w:rsidR="003103EC" w:rsidRPr="00EE153F"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Pr="00C1045E">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3BE5ACDE" w14:textId="0CF6EB4F" w:rsidR="0066209F" w:rsidRPr="003F0E61" w:rsidRDefault="003103EC" w:rsidP="0066209F">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w:t>
      </w:r>
      <w:r w:rsidR="0066209F">
        <w:rPr>
          <w:rFonts w:cs="Arial"/>
          <w:szCs w:val="20"/>
        </w:rPr>
        <w:t xml:space="preserve"> nebo </w:t>
      </w:r>
      <w:r w:rsidR="0066209F" w:rsidRPr="003F0E61">
        <w:rPr>
          <w:rFonts w:cs="Arial"/>
          <w:szCs w:val="20"/>
        </w:rPr>
        <w:t xml:space="preserve">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3" w:name="_Hlk49934365"/>
      <w:r w:rsidR="0066209F" w:rsidRPr="003F0E61">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3"/>
      <w:r w:rsidR="0066209F" w:rsidRPr="003F0E61">
        <w:rPr>
          <w:rFonts w:cs="Arial"/>
          <w:szCs w:val="20"/>
        </w:rPr>
        <w:t>. Kupující si vyhrazuje možnost samostatně posoudit jednání, pro které bylo trestní řízení zahájeno s přihlédnutím k jeho konkrétním skutkovým okolnostem a rovněž</w:t>
      </w:r>
      <w:r w:rsidR="000A6103">
        <w:rPr>
          <w:rFonts w:cs="Arial"/>
          <w:szCs w:val="20"/>
        </w:rPr>
        <w:br/>
      </w:r>
      <w:r w:rsidR="0066209F" w:rsidRPr="003F0E61">
        <w:rPr>
          <w:rFonts w:cs="Arial"/>
          <w:szCs w:val="20"/>
        </w:rPr>
        <w:t>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57AC2C40" w14:textId="3EC50727" w:rsidR="003103EC" w:rsidRPr="002F7C90" w:rsidRDefault="003103EC" w:rsidP="00424405">
      <w:pPr>
        <w:spacing w:after="120" w:line="276" w:lineRule="auto"/>
        <w:ind w:left="1434"/>
        <w:jc w:val="both"/>
        <w:rPr>
          <w:rFonts w:cs="Arial"/>
          <w:szCs w:val="20"/>
        </w:rPr>
      </w:pPr>
    </w:p>
    <w:p w14:paraId="032A7110" w14:textId="692A0EBD" w:rsidR="003103EC" w:rsidRPr="006D0BD1" w:rsidRDefault="003103EC" w:rsidP="00E67BD1">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sidR="000A6103">
        <w:rPr>
          <w:rFonts w:cs="Arial"/>
          <w:szCs w:val="20"/>
        </w:rPr>
        <w:br/>
      </w:r>
      <w:r w:rsidRPr="00D71308">
        <w:rPr>
          <w:rFonts w:cs="Arial"/>
          <w:szCs w:val="20"/>
        </w:rPr>
        <w:t>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144B9423"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VIII. </w:t>
      </w:r>
      <w:r>
        <w:t>odst. 3., 4. nebo 6.</w:t>
      </w:r>
      <w:r w:rsidRPr="00D71308">
        <w:t xml:space="preserve"> smlouvy, vyhrazuje si kupující v souladu s ust. § 100 odst. 2 ZZVZ ve spojení s ust. § 222 odst. 10 písm. a) ZZVZ použití </w:t>
      </w:r>
      <w:r>
        <w:t xml:space="preserve">oprávnění </w:t>
      </w:r>
      <w:r w:rsidRPr="00D71308">
        <w:t xml:space="preserve">uvedeného v čl. </w:t>
      </w:r>
      <w:r w:rsidRPr="009F2873">
        <w:t>1</w:t>
      </w:r>
      <w:r w:rsidR="009F2873" w:rsidRPr="009F2873">
        <w:t>3</w:t>
      </w:r>
      <w:r w:rsidRPr="009F2873">
        <w:t> zadávací do</w:t>
      </w:r>
      <w:r w:rsidRPr="00D71308">
        <w:t>kumentace</w:t>
      </w:r>
      <w:r>
        <w:t>, a to</w:t>
      </w:r>
      <w:r w:rsidRPr="00D71308">
        <w:t xml:space="preserv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 xml:space="preserve">Nová smlouva s takto osloveným </w:t>
      </w:r>
      <w:r>
        <w:lastRenderedPageBreak/>
        <w:t>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w:t>
      </w:r>
      <w:r w:rsidRPr="00CC6F7A">
        <w:rPr>
          <w:rFonts w:ascii="Arial" w:eastAsia="Times New Roman" w:hAnsi="Arial" w:cs="Arial"/>
          <w:sz w:val="20"/>
          <w:szCs w:val="20"/>
          <w:lang w:eastAsia="cs-CZ"/>
        </w:rPr>
        <w:lastRenderedPageBreak/>
        <w:t>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06E43A1A"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45F9F084" w14:textId="7AD1169B"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7EDE867" w14:textId="5ECA19B0" w:rsidR="00766DBF" w:rsidRDefault="00BF4E2D" w:rsidP="00766DBF">
      <w:pPr>
        <w:pStyle w:val="Odstavecseseznamem"/>
        <w:numPr>
          <w:ilvl w:val="0"/>
          <w:numId w:val="1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000A6103" w:rsidRPr="000A6103">
          <w:rPr>
            <w:rStyle w:val="Hypertextovodkaz"/>
          </w:rPr>
          <w:t>https://www.egd.cz/osobni-udaje-zakaznika-dalsich-osob</w:t>
        </w:r>
      </w:hyperlink>
      <w:r w:rsidR="00766DBF">
        <w:rPr>
          <w:color w:val="1E1E1E"/>
        </w:rPr>
        <w:t xml:space="preserve"> v oddílu D. </w:t>
      </w:r>
    </w:p>
    <w:bookmarkEnd w:id="4"/>
    <w:p w14:paraId="407A84B8" w14:textId="37424B8E" w:rsidR="00766DBF" w:rsidRDefault="00766DBF" w:rsidP="00060B31">
      <w:pPr>
        <w:spacing w:line="280" w:lineRule="atLeast"/>
        <w:jc w:val="center"/>
        <w:rPr>
          <w:rFonts w:cs="Arial"/>
          <w:b/>
          <w:szCs w:val="20"/>
        </w:rPr>
      </w:pPr>
    </w:p>
    <w:p w14:paraId="05594FB8" w14:textId="77777777" w:rsidR="00766DBF" w:rsidRDefault="00766DBF" w:rsidP="00060B31">
      <w:pPr>
        <w:spacing w:line="280" w:lineRule="atLeast"/>
        <w:jc w:val="center"/>
        <w:rPr>
          <w:rFonts w:cs="Arial"/>
          <w:b/>
          <w:szCs w:val="20"/>
        </w:rPr>
      </w:pPr>
    </w:p>
    <w:p w14:paraId="5FFB9A22" w14:textId="4E54041C"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Pr>
          <w:rFonts w:cs="Arial"/>
          <w:b/>
          <w:szCs w:val="20"/>
        </w:rPr>
        <w:t>.</w:t>
      </w:r>
    </w:p>
    <w:p w14:paraId="17B51315" w14:textId="77777777" w:rsidR="00766DBF" w:rsidRPr="008159BC" w:rsidRDefault="00766DBF" w:rsidP="00766DBF">
      <w:pPr>
        <w:spacing w:line="280" w:lineRule="atLeast"/>
        <w:jc w:val="center"/>
        <w:rPr>
          <w:rFonts w:cs="Arial"/>
          <w:b/>
          <w:szCs w:val="20"/>
        </w:rPr>
      </w:pPr>
      <w:r w:rsidRPr="008159BC">
        <w:rPr>
          <w:rFonts w:cs="Arial"/>
          <w:b/>
          <w:szCs w:val="20"/>
        </w:rPr>
        <w:t>Povinnosti související se spolufinancováním projektu</w:t>
      </w:r>
    </w:p>
    <w:p w14:paraId="082E7DD7" w14:textId="7A9E6882" w:rsidR="00766DBF" w:rsidRDefault="00766DBF" w:rsidP="00060B31">
      <w:pPr>
        <w:spacing w:line="280" w:lineRule="atLeast"/>
        <w:jc w:val="center"/>
        <w:rPr>
          <w:rFonts w:cs="Arial"/>
          <w:b/>
          <w:szCs w:val="20"/>
        </w:rPr>
      </w:pPr>
    </w:p>
    <w:p w14:paraId="79C127C9" w14:textId="77777777" w:rsidR="00766DBF" w:rsidRPr="004D327D" w:rsidRDefault="00766DBF" w:rsidP="00766DBF">
      <w:pPr>
        <w:numPr>
          <w:ilvl w:val="0"/>
          <w:numId w:val="24"/>
        </w:numPr>
        <w:spacing w:before="120" w:after="120" w:line="280" w:lineRule="atLeast"/>
        <w:jc w:val="both"/>
        <w:rPr>
          <w:color w:val="1E1E1E"/>
        </w:rPr>
      </w:pPr>
      <w:bookmarkStart w:id="5" w:name="_Hlk74027919"/>
      <w:r w:rsidRPr="008159BC">
        <w:rPr>
          <w:color w:val="1E1E1E"/>
        </w:rPr>
        <w:t>Prodávající bere na vědomí, že kupující hodlá na úhradu kupní ceny dle této</w:t>
      </w:r>
      <w:r w:rsidRPr="002E72E1">
        <w:rPr>
          <w:color w:val="1E1E1E"/>
        </w:rPr>
        <w:t xml:space="preserve">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022042A8" w14:textId="77777777" w:rsidR="00766DBF" w:rsidRPr="00707E7B" w:rsidRDefault="00766DBF" w:rsidP="00766DBF">
      <w:pPr>
        <w:ind w:left="340"/>
        <w:jc w:val="both"/>
        <w:rPr>
          <w:rFonts w:eastAsiaTheme="minorHAnsi" w:cs="Arial"/>
          <w:color w:val="1E1E1E"/>
          <w:szCs w:val="20"/>
          <w:lang w:eastAsia="en-US"/>
        </w:rPr>
      </w:pPr>
    </w:p>
    <w:p w14:paraId="2AA9EB98" w14:textId="77777777" w:rsidR="00766DBF" w:rsidRDefault="00766DBF" w:rsidP="00766DBF">
      <w:pPr>
        <w:numPr>
          <w:ilvl w:val="0"/>
          <w:numId w:val="24"/>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53BFE16A" w14:textId="77777777" w:rsidR="00766DBF" w:rsidRDefault="00766DBF" w:rsidP="00766DBF">
      <w:pPr>
        <w:numPr>
          <w:ilvl w:val="0"/>
          <w:numId w:val="24"/>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03377D06" w14:textId="77777777" w:rsidR="00766DBF" w:rsidRPr="00707E7B" w:rsidRDefault="00766DBF" w:rsidP="00766DBF">
      <w:pPr>
        <w:numPr>
          <w:ilvl w:val="0"/>
          <w:numId w:val="24"/>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707E7B">
        <w:rPr>
          <w:rFonts w:eastAsiaTheme="minorHAnsi" w:cs="Arial"/>
          <w:color w:val="1E1E1E"/>
          <w:szCs w:val="20"/>
          <w:lang w:eastAsia="en-US"/>
        </w:rPr>
        <w:lastRenderedPageBreak/>
        <w:t>pro kupujícího jakožto příjemce dotace (dále také jen „Příjemce“) z ustanovení článku II.3, II.4, II.5, II.8 Grantové smlouvy tak, jak jsou tato ustanovení citována níže kurzívou.</w:t>
      </w:r>
    </w:p>
    <w:p w14:paraId="02C3F6AC" w14:textId="77777777" w:rsidR="00766DBF" w:rsidRPr="00707E7B" w:rsidRDefault="00766DBF" w:rsidP="00766DBF">
      <w:pPr>
        <w:spacing w:line="276" w:lineRule="auto"/>
        <w:ind w:left="708"/>
        <w:rPr>
          <w:rFonts w:cs="Arial"/>
          <w:iCs/>
        </w:rPr>
      </w:pPr>
    </w:p>
    <w:p w14:paraId="32DACD66" w14:textId="77777777" w:rsidR="00766DBF" w:rsidRPr="00707E7B" w:rsidRDefault="00766DBF" w:rsidP="00766DBF">
      <w:pPr>
        <w:spacing w:line="276" w:lineRule="auto"/>
        <w:ind w:firstLine="708"/>
        <w:rPr>
          <w:rFonts w:cs="Arial"/>
          <w:b/>
          <w:bCs/>
          <w:i/>
          <w:iCs/>
        </w:rPr>
      </w:pPr>
      <w:r w:rsidRPr="00707E7B">
        <w:rPr>
          <w:rFonts w:cs="Arial"/>
          <w:b/>
          <w:bCs/>
          <w:i/>
          <w:iCs/>
        </w:rPr>
        <w:t>Článek II. 3 Grantové smlouvy – Odpovědnost za škody</w:t>
      </w:r>
    </w:p>
    <w:p w14:paraId="0F069347" w14:textId="77777777" w:rsidR="00766DBF" w:rsidRPr="00707E7B" w:rsidRDefault="00766DBF" w:rsidP="00766DBF">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0A4CB2BC" w14:textId="77777777" w:rsidR="00766DBF" w:rsidRPr="00707E7B" w:rsidRDefault="00766DBF" w:rsidP="00766DBF">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3B7182A8" w14:textId="77777777" w:rsidR="00766DBF" w:rsidRPr="00707E7B" w:rsidRDefault="00766DBF" w:rsidP="00766DBF">
      <w:pPr>
        <w:spacing w:line="276" w:lineRule="auto"/>
        <w:ind w:firstLine="708"/>
        <w:rPr>
          <w:rFonts w:cs="Arial"/>
          <w:b/>
          <w:bCs/>
          <w:i/>
          <w:iCs/>
        </w:rPr>
      </w:pPr>
      <w:r w:rsidRPr="00707E7B">
        <w:rPr>
          <w:rFonts w:cs="Arial"/>
          <w:b/>
          <w:bCs/>
          <w:i/>
          <w:iCs/>
        </w:rPr>
        <w:t>Článek II.4 Grantové smlouvy – Střet zájmů</w:t>
      </w:r>
    </w:p>
    <w:p w14:paraId="0CAE2EE4" w14:textId="77777777" w:rsidR="00766DBF" w:rsidRPr="00707E7B" w:rsidRDefault="00766DBF" w:rsidP="00766DBF">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11499BBA" w14:textId="77777777" w:rsidR="00766DBF" w:rsidRPr="00707E7B" w:rsidRDefault="00766DBF" w:rsidP="00766DBF">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4FE7D934" w14:textId="77777777" w:rsidR="00766DBF" w:rsidRPr="00707E7B" w:rsidRDefault="00766DBF" w:rsidP="00766DBF">
      <w:pPr>
        <w:spacing w:before="120" w:after="120" w:line="276" w:lineRule="auto"/>
        <w:ind w:firstLine="709"/>
        <w:rPr>
          <w:rFonts w:cs="Arial"/>
          <w:b/>
          <w:bCs/>
          <w:i/>
          <w:iCs/>
        </w:rPr>
      </w:pPr>
      <w:r w:rsidRPr="00707E7B">
        <w:rPr>
          <w:rFonts w:cs="Arial"/>
          <w:b/>
          <w:bCs/>
          <w:i/>
          <w:iCs/>
        </w:rPr>
        <w:t>Článek II.5 Grantové smlouvy – Důvěrnost informací</w:t>
      </w:r>
    </w:p>
    <w:p w14:paraId="0C84874C"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53471532"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9050DE8"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01F368F5" w14:textId="77777777" w:rsidR="00766DBF" w:rsidRPr="00707E7B" w:rsidRDefault="00766DBF" w:rsidP="00766DBF">
      <w:pPr>
        <w:numPr>
          <w:ilvl w:val="0"/>
          <w:numId w:val="21"/>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20E3327" w14:textId="77777777" w:rsidR="00766DBF" w:rsidRPr="00707E7B" w:rsidRDefault="00766DBF" w:rsidP="00766DBF">
      <w:pPr>
        <w:numPr>
          <w:ilvl w:val="0"/>
          <w:numId w:val="21"/>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25CD4932" w14:textId="77777777" w:rsidR="00766DBF" w:rsidRPr="00707E7B" w:rsidRDefault="00766DBF" w:rsidP="00766DBF">
      <w:pPr>
        <w:numPr>
          <w:ilvl w:val="0"/>
          <w:numId w:val="21"/>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4F7DCE77" w14:textId="77777777" w:rsidR="00766DBF" w:rsidRDefault="00766DBF" w:rsidP="00766DBF">
      <w:pPr>
        <w:spacing w:before="120" w:after="120" w:line="276" w:lineRule="auto"/>
        <w:rPr>
          <w:rFonts w:cs="Arial"/>
          <w:b/>
          <w:bCs/>
          <w:i/>
          <w:iCs/>
        </w:rPr>
      </w:pPr>
    </w:p>
    <w:p w14:paraId="28669A20" w14:textId="77777777" w:rsidR="00766DBF" w:rsidRPr="00707E7B" w:rsidRDefault="00766DBF" w:rsidP="00766DBF">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33390E0"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C498D48" w14:textId="77777777" w:rsidR="00766DBF" w:rsidRPr="00707E7B" w:rsidRDefault="00766DBF" w:rsidP="00766DBF">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CBDEDEE" w14:textId="77777777" w:rsidR="00766DBF" w:rsidRPr="00707E7B" w:rsidRDefault="00766DBF" w:rsidP="00766DBF">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D5DAE15" w14:textId="77777777" w:rsidR="00766DBF" w:rsidRPr="00707E7B" w:rsidRDefault="00766DBF" w:rsidP="00766DBF">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DEC47AE" w14:textId="77777777" w:rsidR="00766DBF" w:rsidRPr="00707E7B" w:rsidRDefault="00766DBF" w:rsidP="00766DBF">
      <w:pPr>
        <w:spacing w:before="120" w:after="120" w:line="276" w:lineRule="auto"/>
        <w:ind w:left="720" w:hanging="720"/>
        <w:jc w:val="both"/>
        <w:rPr>
          <w:rFonts w:cs="Arial"/>
          <w:i/>
          <w:iCs/>
        </w:rPr>
      </w:pPr>
      <w:r w:rsidRPr="00707E7B">
        <w:rPr>
          <w:rFonts w:cs="Arial"/>
          <w:i/>
          <w:iCs/>
        </w:rPr>
        <w:lastRenderedPageBreak/>
        <w:t>              Pokud Agentura písemně požádá příjemce, že hodlá využít některé výsledky, příjemce musí:</w:t>
      </w:r>
    </w:p>
    <w:p w14:paraId="3C868EFD" w14:textId="77777777" w:rsidR="00766DBF" w:rsidRPr="00707E7B" w:rsidRDefault="00766DBF" w:rsidP="00766DBF">
      <w:pPr>
        <w:numPr>
          <w:ilvl w:val="0"/>
          <w:numId w:val="22"/>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1286345" w14:textId="77777777" w:rsidR="00766DBF" w:rsidRPr="00707E7B" w:rsidRDefault="00766DBF" w:rsidP="00766DBF">
      <w:pPr>
        <w:numPr>
          <w:ilvl w:val="0"/>
          <w:numId w:val="22"/>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5574FBFF" w14:textId="77777777" w:rsidR="00766DBF" w:rsidRPr="00707E7B" w:rsidRDefault="00766DBF" w:rsidP="00766DBF">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3F44CBE" w14:textId="77777777" w:rsidR="00766DBF" w:rsidRPr="00707E7B" w:rsidRDefault="00766DBF" w:rsidP="00766DBF">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4E30C61A" w14:textId="77777777" w:rsidR="00766DBF" w:rsidRPr="00707E7B" w:rsidRDefault="00766DBF" w:rsidP="00766DBF">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02CAC50"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0CDB3CE0"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1BB1F9C"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2B89365"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DFB367F"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úprava: právo změnit výsledky;</w:t>
      </w:r>
    </w:p>
    <w:p w14:paraId="396697CE"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překlad;</w:t>
      </w:r>
    </w:p>
    <w:p w14:paraId="2FDA825E"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CC82364"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5502ABF6" w14:textId="77777777" w:rsidR="00766DBF" w:rsidRPr="00707E7B" w:rsidRDefault="00766DBF" w:rsidP="00766DBF">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628BE74A" w14:textId="77777777" w:rsidR="00766DBF" w:rsidRPr="00707E7B" w:rsidRDefault="00766DBF" w:rsidP="00766DBF">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C34E371" w14:textId="77777777" w:rsidR="00766DBF" w:rsidRDefault="00766DBF" w:rsidP="00766DBF">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bookmarkEnd w:id="5"/>
    <w:p w14:paraId="04062C90" w14:textId="77777777" w:rsidR="00766DBF" w:rsidRDefault="00766DBF" w:rsidP="00766DBF">
      <w:pPr>
        <w:spacing w:line="280" w:lineRule="atLeast"/>
        <w:jc w:val="center"/>
        <w:rPr>
          <w:rFonts w:cs="Arial"/>
          <w:b/>
          <w:szCs w:val="20"/>
        </w:rPr>
      </w:pPr>
    </w:p>
    <w:p w14:paraId="2A1C4767" w14:textId="7624E7A7" w:rsidR="00766DBF" w:rsidRPr="00766DBF" w:rsidRDefault="00766DBF" w:rsidP="00766DBF">
      <w:pPr>
        <w:spacing w:line="280" w:lineRule="atLeast"/>
        <w:rPr>
          <w:rFonts w:cs="Arial"/>
          <w:b/>
          <w:szCs w:val="20"/>
        </w:rPr>
      </w:pPr>
    </w:p>
    <w:p w14:paraId="0D73A073" w14:textId="27DF177F" w:rsidR="00766DBF" w:rsidRDefault="00766DBF" w:rsidP="00060B31">
      <w:pPr>
        <w:spacing w:line="280" w:lineRule="atLeast"/>
        <w:jc w:val="center"/>
        <w:rPr>
          <w:rFonts w:cs="Arial"/>
          <w:b/>
          <w:szCs w:val="20"/>
        </w:rPr>
      </w:pPr>
    </w:p>
    <w:p w14:paraId="3495340F" w14:textId="5AFB03E1" w:rsidR="00766DBF" w:rsidRDefault="00766DBF" w:rsidP="00060B31">
      <w:pPr>
        <w:spacing w:line="280" w:lineRule="atLeast"/>
        <w:jc w:val="center"/>
        <w:rPr>
          <w:rFonts w:cs="Arial"/>
          <w:b/>
          <w:szCs w:val="20"/>
        </w:rPr>
      </w:pPr>
    </w:p>
    <w:p w14:paraId="6AD0C62C" w14:textId="2D74342C" w:rsidR="00766DBF" w:rsidRDefault="00766DBF" w:rsidP="00060B31">
      <w:pPr>
        <w:spacing w:line="280" w:lineRule="atLeast"/>
        <w:jc w:val="center"/>
        <w:rPr>
          <w:rFonts w:cs="Arial"/>
          <w:b/>
          <w:szCs w:val="20"/>
        </w:rPr>
      </w:pPr>
      <w:r>
        <w:rPr>
          <w:rFonts w:cs="Arial"/>
          <w:b/>
          <w:szCs w:val="20"/>
        </w:rPr>
        <w:t>XII.</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lastRenderedPageBreak/>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3"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7DAF7B52"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0, na kterou odkazuje tato smlouva a 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r w:rsidR="006B2850" w:rsidRPr="006B2850">
        <w:rPr>
          <w:rFonts w:cs="Arial"/>
          <w:szCs w:val="20"/>
        </w:rPr>
        <w:t xml:space="preserve"> Smluvní strany se dohodly, že ustanovení odstavce 15.8 VNP se pro účely této smlouvy nepoužije.</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F784BDF" w:rsidR="00327D7B" w:rsidRPr="00672481" w:rsidRDefault="00327D7B" w:rsidP="00AA2874">
      <w:pPr>
        <w:widowControl w:val="0"/>
        <w:numPr>
          <w:ilvl w:val="0"/>
          <w:numId w:val="18"/>
        </w:numPr>
        <w:suppressAutoHyphens/>
        <w:spacing w:line="280" w:lineRule="atLeast"/>
        <w:jc w:val="both"/>
      </w:pPr>
      <w:r w:rsidRPr="00672481">
        <w:t>Jakékoliv změny této smlouv</w:t>
      </w:r>
      <w:r w:rsidR="00FA0F43" w:rsidRPr="00672481">
        <w:t>y</w:t>
      </w:r>
      <w:r w:rsidRPr="00672481">
        <w:t xml:space="preserve"> je možné provádět pouze písemně </w:t>
      </w:r>
      <w:r w:rsidR="00823F1D" w:rsidRPr="00672481">
        <w:t>formou dodatku k této smlouvě v souladu s </w:t>
      </w:r>
      <w:r w:rsidR="00900C5F" w:rsidRPr="00672481">
        <w:t xml:space="preserve">občanským zákoníkem </w:t>
      </w:r>
      <w:r w:rsidR="00823F1D" w:rsidRPr="00672481">
        <w:t>a Z</w:t>
      </w:r>
      <w:r w:rsidR="00E869AA" w:rsidRPr="00672481">
        <w:t>Z</w:t>
      </w:r>
      <w:r w:rsidR="00823F1D" w:rsidRPr="00672481">
        <w:t xml:space="preserve">VZ. </w:t>
      </w:r>
      <w:r w:rsidR="00145F4C" w:rsidRPr="00672481">
        <w:t xml:space="preserve">Změny v kontaktních údajích lze činit i jednostranným </w:t>
      </w:r>
      <w:r w:rsidR="00835C38" w:rsidRPr="00672481">
        <w:t>písemným oznámením (v listinné</w:t>
      </w:r>
      <w:r w:rsidR="00145F4C" w:rsidRPr="00672481">
        <w:t xml:space="preserve"> nebo v elektronické form</w:t>
      </w:r>
      <w:r w:rsidR="00835C38" w:rsidRPr="00672481">
        <w:t>ě) podepsaným oprávněnou osobou</w:t>
      </w:r>
      <w:r w:rsidR="00145F4C" w:rsidRPr="00672481">
        <w:t xml:space="preserve"> </w:t>
      </w:r>
      <w:r w:rsidR="00FE3275" w:rsidRPr="00672481">
        <w:t xml:space="preserve">(elektronicky ověřeným podpisem) </w:t>
      </w:r>
      <w:r w:rsidR="00145F4C" w:rsidRPr="00672481">
        <w:t>nebo i prostým emailem prostřednictvím emailových adres kontaktních osob.</w:t>
      </w:r>
      <w:r w:rsidR="00FE3275" w:rsidRPr="00672481">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8203C3C" w:rsidR="00BE181B" w:rsidRPr="00DA2C52" w:rsidRDefault="00327D7B" w:rsidP="00AA2874">
      <w:pPr>
        <w:pStyle w:val="Odstavecseseznamem"/>
        <w:numPr>
          <w:ilvl w:val="0"/>
          <w:numId w:val="18"/>
        </w:numPr>
        <w:spacing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327EAE06"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K</w:t>
      </w:r>
      <w:r w:rsidR="00766DBF">
        <w:t>aždá smluvní strana</w:t>
      </w:r>
      <w:r>
        <w:t xml:space="preserve"> obdrží elektronický originál smlouvy</w:t>
      </w:r>
      <w:r w:rsidR="00766DBF">
        <w:t xml:space="preserve"> včetně jejích příloh</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672481" w:rsidRDefault="00327D7B" w:rsidP="00AA2874">
      <w:pPr>
        <w:widowControl w:val="0"/>
        <w:numPr>
          <w:ilvl w:val="0"/>
          <w:numId w:val="18"/>
        </w:numPr>
        <w:suppressAutoHyphens/>
        <w:spacing w:line="280" w:lineRule="atLeast"/>
        <w:jc w:val="both"/>
      </w:pPr>
      <w:r w:rsidRPr="00672481">
        <w:rPr>
          <w:rFonts w:cs="Arial"/>
          <w:szCs w:val="20"/>
        </w:rPr>
        <w:t>Smlouva nabývá účinnosti dnem podpisu oprávněných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672481" w:rsidRDefault="00415298" w:rsidP="00AA2874">
      <w:pPr>
        <w:widowControl w:val="0"/>
        <w:numPr>
          <w:ilvl w:val="0"/>
          <w:numId w:val="18"/>
        </w:numPr>
        <w:suppressAutoHyphens/>
        <w:spacing w:line="280" w:lineRule="atLeast"/>
        <w:jc w:val="both"/>
        <w:rPr>
          <w:rFonts w:cs="Arial"/>
          <w:szCs w:val="20"/>
        </w:rPr>
      </w:pPr>
      <w:r w:rsidRPr="00672481">
        <w:rPr>
          <w:rFonts w:cs="Arial"/>
          <w:szCs w:val="20"/>
        </w:rPr>
        <w:t xml:space="preserve">Smluvní strany vylučují aplikaci následujících ustanovení občanského zákoníku na tuto smlouvu: § 557, §§ </w:t>
      </w:r>
      <w:proofErr w:type="gramStart"/>
      <w:r w:rsidRPr="00672481">
        <w:rPr>
          <w:rFonts w:cs="Arial"/>
          <w:szCs w:val="20"/>
        </w:rPr>
        <w:t>1793 – 1795</w:t>
      </w:r>
      <w:proofErr w:type="gramEnd"/>
      <w:r w:rsidRPr="00672481">
        <w:rPr>
          <w:rFonts w:cs="Arial"/>
          <w:szCs w:val="20"/>
        </w:rPr>
        <w:t>, § 1799</w:t>
      </w:r>
      <w:r w:rsidR="003439E8" w:rsidRPr="00672481">
        <w:rPr>
          <w:rFonts w:cs="Arial"/>
          <w:szCs w:val="20"/>
        </w:rPr>
        <w:t xml:space="preserve"> a</w:t>
      </w:r>
      <w:r w:rsidRPr="00672481">
        <w:rPr>
          <w:rFonts w:cs="Arial"/>
          <w:szCs w:val="20"/>
        </w:rPr>
        <w:t xml:space="preserve"> § 1800</w:t>
      </w:r>
      <w:r w:rsidR="003439E8" w:rsidRPr="00672481">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11083087"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který je plátcem DPH</w:t>
      </w:r>
      <w:r w:rsidR="000D681E">
        <w:rPr>
          <w:iCs/>
        </w:rPr>
        <w:br/>
      </w:r>
      <w:r w:rsidR="00835C38" w:rsidRPr="00487203">
        <w:rPr>
          <w:iCs/>
        </w:rPr>
        <w:t>a poskytovatelem zdanitelného plnění a v případě, že jím poskytnuté zdanitelné plnění nepodléhá režimu přenesení daňové povinnosti, se zavazuje, že povinnosti plynoucí mu ze zákona</w:t>
      </w:r>
      <w:r w:rsidR="000D681E">
        <w:rPr>
          <w:iCs/>
        </w:rPr>
        <w:br/>
      </w:r>
      <w:r w:rsidR="00835C38" w:rsidRPr="00487203">
        <w:rPr>
          <w:iCs/>
        </w:rPr>
        <w:t xml:space="preserve">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2B863230"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 </w:t>
      </w:r>
      <w:r>
        <w:rPr>
          <w:rFonts w:cs="Arial"/>
          <w:szCs w:val="20"/>
        </w:rPr>
        <w:t>Před</w:t>
      </w:r>
      <w:r w:rsidR="00175917">
        <w:rPr>
          <w:rFonts w:cs="Arial"/>
          <w:szCs w:val="20"/>
        </w:rPr>
        <w:t xml:space="preserve">pokládané množství a </w:t>
      </w:r>
      <w:r>
        <w:rPr>
          <w:rFonts w:cs="Arial"/>
          <w:szCs w:val="20"/>
        </w:rPr>
        <w:t>cena</w:t>
      </w:r>
      <w:r w:rsidR="00175917">
        <w:rPr>
          <w:rFonts w:cs="Arial"/>
          <w:szCs w:val="20"/>
        </w:rPr>
        <w:t xml:space="preserve"> 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289E2118"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3C40E6DF"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A664D2">
        <w:rPr>
          <w:rFonts w:cs="Arial"/>
          <w:szCs w:val="20"/>
          <w:highlight w:val="green"/>
        </w:rPr>
        <w:t>účastník</w:t>
      </w:r>
      <w:r w:rsidR="006D1571">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A664D2">
        <w:rPr>
          <w:rFonts w:cs="Arial"/>
          <w:szCs w:val="20"/>
          <w:highlight w:val="green"/>
        </w:rPr>
        <w:t>účastník</w:t>
      </w:r>
      <w:r w:rsidRPr="00DA2C52">
        <w:rPr>
          <w:rFonts w:cs="Arial"/>
          <w:szCs w:val="20"/>
        </w:rPr>
        <w:tab/>
      </w:r>
      <w:r w:rsidR="00CC2629">
        <w:rPr>
          <w:rFonts w:cs="Arial"/>
          <w:szCs w:val="20"/>
        </w:rPr>
        <w:tab/>
      </w:r>
      <w:r w:rsidRPr="00DA2C52">
        <w:rPr>
          <w:rFonts w:cs="Arial"/>
          <w:szCs w:val="20"/>
        </w:rPr>
        <w:t>V</w:t>
      </w:r>
      <w:r w:rsidR="001317C1">
        <w:rPr>
          <w:rFonts w:cs="Arial"/>
          <w:szCs w:val="20"/>
        </w:rPr>
        <w:t> </w:t>
      </w:r>
      <w:r w:rsidR="007905F2">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73BC08C6"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proofErr w:type="gramStart"/>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7905F2">
        <w:rPr>
          <w:rFonts w:cs="Arial"/>
          <w:b/>
          <w:bCs/>
          <w:iCs/>
          <w:szCs w:val="20"/>
        </w:rPr>
        <w:t>EG.D</w:t>
      </w:r>
      <w:proofErr w:type="gramEnd"/>
      <w:r w:rsidR="00B1686C">
        <w:rPr>
          <w:rFonts w:cs="Arial"/>
          <w:b/>
          <w:bCs/>
          <w:iCs/>
          <w:szCs w:val="20"/>
        </w:rPr>
        <w:t>, a.s.</w:t>
      </w:r>
    </w:p>
    <w:p w14:paraId="5FFB9A4E" w14:textId="77777777" w:rsidR="00327D7B" w:rsidRPr="00DA2C52" w:rsidRDefault="00327D7B" w:rsidP="00060B31">
      <w:pPr>
        <w:spacing w:line="280" w:lineRule="atLeast"/>
        <w:jc w:val="both"/>
        <w:rPr>
          <w:rFonts w:cs="Arial"/>
          <w:szCs w:val="20"/>
        </w:rPr>
      </w:pPr>
    </w:p>
    <w:p w14:paraId="5FFB9A4F" w14:textId="0FA9945C" w:rsidR="00327D7B" w:rsidRDefault="00327D7B" w:rsidP="00060B31">
      <w:pPr>
        <w:spacing w:line="280" w:lineRule="atLeast"/>
        <w:jc w:val="both"/>
        <w:rPr>
          <w:rFonts w:cs="Arial"/>
          <w:szCs w:val="20"/>
        </w:rPr>
      </w:pPr>
    </w:p>
    <w:p w14:paraId="77AD4DC8" w14:textId="4E8DF2FB" w:rsidR="009F2873" w:rsidRDefault="009F2873" w:rsidP="00060B31">
      <w:pPr>
        <w:spacing w:line="280" w:lineRule="atLeast"/>
        <w:jc w:val="both"/>
        <w:rPr>
          <w:rFonts w:cs="Arial"/>
          <w:szCs w:val="20"/>
        </w:rPr>
      </w:pPr>
    </w:p>
    <w:p w14:paraId="36AF74CE" w14:textId="77777777" w:rsidR="009F2873" w:rsidRPr="00DA2C52" w:rsidRDefault="009F2873"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F44A01A" w14:textId="0E76843E"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9F287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420D2B7" w:rsidR="00B1686C" w:rsidRDefault="00B1686C" w:rsidP="00835C38">
      <w:pPr>
        <w:spacing w:line="280" w:lineRule="atLeast"/>
        <w:rPr>
          <w:rFonts w:cs="Arial"/>
          <w:szCs w:val="20"/>
        </w:rPr>
      </w:pPr>
    </w:p>
    <w:p w14:paraId="7A405BB7" w14:textId="120B8640" w:rsidR="009F2873" w:rsidRDefault="009F2873" w:rsidP="00835C38">
      <w:pPr>
        <w:spacing w:line="280" w:lineRule="atLeast"/>
        <w:rPr>
          <w:rFonts w:cs="Arial"/>
          <w:szCs w:val="20"/>
        </w:rPr>
      </w:pPr>
    </w:p>
    <w:p w14:paraId="5F2A0802" w14:textId="77777777" w:rsidR="009F2873" w:rsidRDefault="009F2873"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5FFB9A56" w14:textId="7DAB0E9B"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2635B" w14:textId="77777777" w:rsidR="00531982" w:rsidRDefault="00531982" w:rsidP="00E25C9A">
      <w:r>
        <w:separator/>
      </w:r>
    </w:p>
  </w:endnote>
  <w:endnote w:type="continuationSeparator" w:id="0">
    <w:p w14:paraId="741B5F06" w14:textId="77777777" w:rsidR="00531982" w:rsidRDefault="00531982" w:rsidP="00E25C9A">
      <w:r>
        <w:continuationSeparator/>
      </w:r>
    </w:p>
  </w:endnote>
  <w:endnote w:type="continuationNotice" w:id="1">
    <w:p w14:paraId="3D34DA36" w14:textId="77777777" w:rsidR="00531982" w:rsidRDefault="00531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0CCD4" w14:textId="77777777" w:rsidR="00531982" w:rsidRDefault="00531982" w:rsidP="00E25C9A">
      <w:r>
        <w:separator/>
      </w:r>
    </w:p>
  </w:footnote>
  <w:footnote w:type="continuationSeparator" w:id="0">
    <w:p w14:paraId="04760AB4" w14:textId="77777777" w:rsidR="00531982" w:rsidRDefault="00531982" w:rsidP="00E25C9A">
      <w:r>
        <w:continuationSeparator/>
      </w:r>
    </w:p>
  </w:footnote>
  <w:footnote w:type="continuationNotice" w:id="1">
    <w:p w14:paraId="7726F837" w14:textId="77777777" w:rsidR="00531982" w:rsidRDefault="005319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685F3C02"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7905F2">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D775BC"/>
    <w:multiLevelType w:val="hybridMultilevel"/>
    <w:tmpl w:val="ECB682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5"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7"/>
  </w:num>
  <w:num w:numId="6">
    <w:abstractNumId w:val="18"/>
  </w:num>
  <w:num w:numId="7">
    <w:abstractNumId w:val="24"/>
  </w:num>
  <w:num w:numId="8">
    <w:abstractNumId w:val="17"/>
  </w:num>
  <w:num w:numId="9">
    <w:abstractNumId w:val="11"/>
  </w:num>
  <w:num w:numId="10">
    <w:abstractNumId w:val="23"/>
  </w:num>
  <w:num w:numId="11">
    <w:abstractNumId w:val="9"/>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9"/>
  </w:num>
  <w:num w:numId="18">
    <w:abstractNumId w:val="14"/>
  </w:num>
  <w:num w:numId="19">
    <w:abstractNumId w:val="15"/>
  </w:num>
  <w:num w:numId="20">
    <w:abstractNumId w:val="3"/>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AB4"/>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613"/>
    <w:rsid w:val="0007296D"/>
    <w:rsid w:val="00073669"/>
    <w:rsid w:val="00073B0D"/>
    <w:rsid w:val="000748C1"/>
    <w:rsid w:val="00080D92"/>
    <w:rsid w:val="000815C6"/>
    <w:rsid w:val="0008216B"/>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FC0"/>
    <w:rsid w:val="000A4E5A"/>
    <w:rsid w:val="000A6103"/>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81E"/>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1490"/>
    <w:rsid w:val="001D155F"/>
    <w:rsid w:val="001D5747"/>
    <w:rsid w:val="001D7A29"/>
    <w:rsid w:val="001D7C70"/>
    <w:rsid w:val="001D7E31"/>
    <w:rsid w:val="001E0726"/>
    <w:rsid w:val="001E16EA"/>
    <w:rsid w:val="001E1DF5"/>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1F75BC"/>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66BB5"/>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76D"/>
    <w:rsid w:val="00396ED0"/>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5252"/>
    <w:rsid w:val="003B66FC"/>
    <w:rsid w:val="003B79F3"/>
    <w:rsid w:val="003B7BFD"/>
    <w:rsid w:val="003B7E26"/>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0B2"/>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405"/>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982"/>
    <w:rsid w:val="00531F17"/>
    <w:rsid w:val="005327D5"/>
    <w:rsid w:val="0053287C"/>
    <w:rsid w:val="00532D1F"/>
    <w:rsid w:val="00533CE7"/>
    <w:rsid w:val="005350AD"/>
    <w:rsid w:val="00537DF5"/>
    <w:rsid w:val="0054028F"/>
    <w:rsid w:val="00540ECC"/>
    <w:rsid w:val="005438BC"/>
    <w:rsid w:val="00543E34"/>
    <w:rsid w:val="005455B5"/>
    <w:rsid w:val="0055160A"/>
    <w:rsid w:val="00552C6B"/>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65A1B"/>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7713"/>
    <w:rsid w:val="005B1F96"/>
    <w:rsid w:val="005B2B4D"/>
    <w:rsid w:val="005B2BAC"/>
    <w:rsid w:val="005B3F19"/>
    <w:rsid w:val="005B5793"/>
    <w:rsid w:val="005B5881"/>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5DC5"/>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095"/>
    <w:rsid w:val="00643328"/>
    <w:rsid w:val="00644B68"/>
    <w:rsid w:val="00646E8A"/>
    <w:rsid w:val="00646FDF"/>
    <w:rsid w:val="006508E8"/>
    <w:rsid w:val="0065209F"/>
    <w:rsid w:val="00652257"/>
    <w:rsid w:val="00654BD2"/>
    <w:rsid w:val="0065636D"/>
    <w:rsid w:val="00656857"/>
    <w:rsid w:val="00656A3A"/>
    <w:rsid w:val="00661C4B"/>
    <w:rsid w:val="0066209F"/>
    <w:rsid w:val="00663351"/>
    <w:rsid w:val="006636E2"/>
    <w:rsid w:val="00663897"/>
    <w:rsid w:val="00663928"/>
    <w:rsid w:val="00663980"/>
    <w:rsid w:val="00666DE7"/>
    <w:rsid w:val="006707B7"/>
    <w:rsid w:val="00670F48"/>
    <w:rsid w:val="00670FC3"/>
    <w:rsid w:val="00672481"/>
    <w:rsid w:val="00672F26"/>
    <w:rsid w:val="0067395E"/>
    <w:rsid w:val="00673BE8"/>
    <w:rsid w:val="00674B77"/>
    <w:rsid w:val="00676442"/>
    <w:rsid w:val="0067762A"/>
    <w:rsid w:val="006777A6"/>
    <w:rsid w:val="00680278"/>
    <w:rsid w:val="0068088E"/>
    <w:rsid w:val="00682E16"/>
    <w:rsid w:val="006830CC"/>
    <w:rsid w:val="00683D69"/>
    <w:rsid w:val="006863DB"/>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10"/>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EE"/>
    <w:rsid w:val="00720BFE"/>
    <w:rsid w:val="007235CD"/>
    <w:rsid w:val="00724F8E"/>
    <w:rsid w:val="0072506D"/>
    <w:rsid w:val="00727C84"/>
    <w:rsid w:val="00734C9D"/>
    <w:rsid w:val="00735C5E"/>
    <w:rsid w:val="0073708A"/>
    <w:rsid w:val="00740109"/>
    <w:rsid w:val="0074061E"/>
    <w:rsid w:val="007416F7"/>
    <w:rsid w:val="00742A8A"/>
    <w:rsid w:val="00743C71"/>
    <w:rsid w:val="007446B2"/>
    <w:rsid w:val="0074555F"/>
    <w:rsid w:val="007459FB"/>
    <w:rsid w:val="00745E95"/>
    <w:rsid w:val="0075291D"/>
    <w:rsid w:val="007542F5"/>
    <w:rsid w:val="00754762"/>
    <w:rsid w:val="007568D0"/>
    <w:rsid w:val="0075723D"/>
    <w:rsid w:val="00761F53"/>
    <w:rsid w:val="0076312D"/>
    <w:rsid w:val="00766DBF"/>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5F2"/>
    <w:rsid w:val="0079087F"/>
    <w:rsid w:val="00793159"/>
    <w:rsid w:val="00793E28"/>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ACD"/>
    <w:rsid w:val="007B7EAC"/>
    <w:rsid w:val="007C29D1"/>
    <w:rsid w:val="007C2CF2"/>
    <w:rsid w:val="007C528B"/>
    <w:rsid w:val="007C5614"/>
    <w:rsid w:val="007C63FE"/>
    <w:rsid w:val="007C6E11"/>
    <w:rsid w:val="007D0038"/>
    <w:rsid w:val="007D23D2"/>
    <w:rsid w:val="007D24A4"/>
    <w:rsid w:val="007D35C1"/>
    <w:rsid w:val="007D5888"/>
    <w:rsid w:val="007E02CE"/>
    <w:rsid w:val="007E1BF3"/>
    <w:rsid w:val="007E6CFF"/>
    <w:rsid w:val="007E71A2"/>
    <w:rsid w:val="007F121A"/>
    <w:rsid w:val="007F18A7"/>
    <w:rsid w:val="007F25C0"/>
    <w:rsid w:val="007F2700"/>
    <w:rsid w:val="007F2767"/>
    <w:rsid w:val="007F2AE7"/>
    <w:rsid w:val="007F4518"/>
    <w:rsid w:val="0080019E"/>
    <w:rsid w:val="00803059"/>
    <w:rsid w:val="00803E78"/>
    <w:rsid w:val="00804AD8"/>
    <w:rsid w:val="00805A14"/>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392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621F0"/>
    <w:rsid w:val="00963A61"/>
    <w:rsid w:val="0096405B"/>
    <w:rsid w:val="00965756"/>
    <w:rsid w:val="00967066"/>
    <w:rsid w:val="009677AF"/>
    <w:rsid w:val="00970865"/>
    <w:rsid w:val="00970EBE"/>
    <w:rsid w:val="00971C04"/>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E09"/>
    <w:rsid w:val="009A7D2C"/>
    <w:rsid w:val="009B0287"/>
    <w:rsid w:val="009B0F1F"/>
    <w:rsid w:val="009B1CCF"/>
    <w:rsid w:val="009B1E3F"/>
    <w:rsid w:val="009B4442"/>
    <w:rsid w:val="009B4F36"/>
    <w:rsid w:val="009B541F"/>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873"/>
    <w:rsid w:val="009F2BD7"/>
    <w:rsid w:val="009F3EF0"/>
    <w:rsid w:val="009F4EA4"/>
    <w:rsid w:val="009F790C"/>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4D2"/>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5371"/>
    <w:rsid w:val="00B565E0"/>
    <w:rsid w:val="00B57CAB"/>
    <w:rsid w:val="00B57EFF"/>
    <w:rsid w:val="00B6405D"/>
    <w:rsid w:val="00B6514E"/>
    <w:rsid w:val="00B65674"/>
    <w:rsid w:val="00B719A5"/>
    <w:rsid w:val="00B729FE"/>
    <w:rsid w:val="00B75361"/>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495"/>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629"/>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210D"/>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0BB1"/>
    <w:rsid w:val="00EF1114"/>
    <w:rsid w:val="00EF1F20"/>
    <w:rsid w:val="00EF3B1F"/>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0A6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tka.novakova@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gd.cz/osobni-udaje-zakaznika-dalsich-oso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5673</TotalTime>
  <Pages>20</Pages>
  <Words>8646</Words>
  <Characters>51016</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15</cp:revision>
  <cp:lastPrinted>2017-05-11T12:12:00Z</cp:lastPrinted>
  <dcterms:created xsi:type="dcterms:W3CDTF">2022-03-21T11:49:00Z</dcterms:created>
  <dcterms:modified xsi:type="dcterms:W3CDTF">2022-04-26T07:58:00Z</dcterms:modified>
</cp:coreProperties>
</file>